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textAlignment w:val="auto"/>
        <w:rPr>
          <w:b/>
          <w:bCs/>
          <w:sz w:val="32"/>
          <w:szCs w:val="32"/>
        </w:rPr>
      </w:pPr>
      <w:r>
        <w:rPr>
          <w:rFonts w:hint="eastAsia"/>
          <w:b/>
          <w:bCs/>
          <w:sz w:val="32"/>
          <w:szCs w:val="32"/>
        </w:rPr>
        <w:t>附件：</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Microsoft YaHei" w:hAnsi="Microsoft YaHei" w:eastAsia="Microsoft YaHei" w:cs="宋体"/>
          <w:bCs/>
          <w:color w:val="111111"/>
          <w:kern w:val="0"/>
          <w:sz w:val="44"/>
          <w:szCs w:val="44"/>
          <w:shd w:val="clear" w:color="auto" w:fill="FFFFFF"/>
        </w:rPr>
      </w:pPr>
      <w:r>
        <w:rPr>
          <w:rFonts w:hint="eastAsia" w:ascii="Microsoft YaHei" w:hAnsi="Microsoft YaHei" w:eastAsia="Microsoft YaHei" w:cs="宋体"/>
          <w:bCs/>
          <w:color w:val="111111"/>
          <w:kern w:val="0"/>
          <w:sz w:val="44"/>
          <w:szCs w:val="44"/>
          <w:shd w:val="clear" w:color="auto" w:fill="FFFFFF"/>
        </w:rPr>
        <w:t>《黄石市历史文化名城名镇名村保护条例》</w:t>
      </w:r>
    </w:p>
    <w:p>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FangSong_GB2312" w:hAnsi="FangSong_GB2312" w:cs="宋体"/>
          <w:bCs/>
          <w:color w:val="111111"/>
          <w:kern w:val="0"/>
          <w:szCs w:val="32"/>
          <w:shd w:val="clear" w:color="auto" w:fill="FFFFFF"/>
        </w:rPr>
      </w:pPr>
      <w:r>
        <w:rPr>
          <w:rFonts w:hint="eastAsia" w:ascii="FangSong_GB2312" w:hAnsi="FangSong_GB2312" w:cs="宋体"/>
          <w:bCs/>
          <w:color w:val="111111"/>
          <w:kern w:val="0"/>
          <w:szCs w:val="32"/>
          <w:shd w:val="clear" w:color="auto" w:fill="FFFFFF"/>
        </w:rPr>
        <w:t>（征求意见稿）</w:t>
      </w:r>
    </w:p>
    <w:p>
      <w:pPr>
        <w:keepNext w:val="0"/>
        <w:keepLines w:val="0"/>
        <w:pageBreakBefore w:val="0"/>
        <w:kinsoku/>
        <w:wordWrap/>
        <w:overflowPunct/>
        <w:topLinePunct w:val="0"/>
        <w:autoSpaceDE/>
        <w:autoSpaceDN/>
        <w:bidi w:val="0"/>
        <w:adjustRightInd w:val="0"/>
        <w:snapToGrid w:val="0"/>
        <w:spacing w:line="520" w:lineRule="exact"/>
        <w:textAlignment w:val="auto"/>
      </w:pP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目 录</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第一章</w:t>
      </w:r>
      <w:r>
        <w:t xml:space="preserve"> 总则</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第二章 保护措施</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第三章 传承利用</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第四章 保障和监督</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第五章 法律责任</w:t>
      </w:r>
    </w:p>
    <w:p>
      <w:pPr>
        <w:keepNext w:val="0"/>
        <w:keepLines w:val="0"/>
        <w:pageBreakBefore w:val="0"/>
        <w:kinsoku/>
        <w:wordWrap/>
        <w:overflowPunct/>
        <w:topLinePunct w:val="0"/>
        <w:autoSpaceDE/>
        <w:autoSpaceDN/>
        <w:bidi w:val="0"/>
        <w:adjustRightInd w:val="0"/>
        <w:snapToGrid w:val="0"/>
        <w:spacing w:line="520" w:lineRule="exact"/>
        <w:textAlignment w:val="auto"/>
      </w:pPr>
      <w:r>
        <w:rPr>
          <w:rFonts w:hint="eastAsia"/>
        </w:rPr>
        <w:t>第六章 附则</w:t>
      </w:r>
    </w:p>
    <w:p>
      <w:pPr>
        <w:keepNext w:val="0"/>
        <w:keepLines w:val="0"/>
        <w:pageBreakBefore w:val="0"/>
        <w:kinsoku/>
        <w:wordWrap/>
        <w:overflowPunct/>
        <w:topLinePunct w:val="0"/>
        <w:autoSpaceDE/>
        <w:autoSpaceDN/>
        <w:bidi w:val="0"/>
        <w:adjustRightInd w:val="0"/>
        <w:snapToGrid w:val="0"/>
        <w:spacing w:line="520" w:lineRule="exact"/>
        <w:textAlignment w:val="auto"/>
      </w:pP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SimHei" w:hAnsi="SimHei" w:eastAsia="SimHei" w:cs="Times New Roman"/>
        </w:rPr>
      </w:pPr>
      <w:r>
        <w:rPr>
          <w:rFonts w:ascii="SimHei" w:hAnsi="SimHei" w:eastAsia="SimHei" w:cs="Times New Roman"/>
        </w:rPr>
        <w:t>第一章 总  则</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第一条【立法</w:t>
      </w:r>
      <w:r>
        <w:rPr>
          <w:rFonts w:hint="eastAsia" w:ascii="SimHei" w:hAnsi="SimHei" w:eastAsia="SimHei" w:cs="Times New Roman"/>
        </w:rPr>
        <w:t>目的</w:t>
      </w:r>
      <w:r>
        <w:rPr>
          <w:rFonts w:ascii="SimHei" w:hAnsi="SimHei" w:eastAsia="SimHei" w:cs="Times New Roman"/>
        </w:rPr>
        <w:t>】</w:t>
      </w:r>
      <w:r>
        <w:rPr>
          <w:rFonts w:ascii="Times New Roman" w:hAnsi="Times New Roman" w:cs="Times New Roman"/>
        </w:rPr>
        <w:t>为了加强历史文化名城名镇名村的保护</w:t>
      </w:r>
      <w:r>
        <w:rPr>
          <w:rFonts w:hint="eastAsia" w:ascii="Times New Roman" w:hAnsi="Times New Roman" w:cs="Times New Roman"/>
        </w:rPr>
        <w:t>和管理</w:t>
      </w:r>
      <w:r>
        <w:rPr>
          <w:rFonts w:ascii="Times New Roman" w:hAnsi="Times New Roman" w:cs="Times New Roman"/>
        </w:rPr>
        <w:t>，</w:t>
      </w:r>
      <w:r>
        <w:rPr>
          <w:rFonts w:hint="eastAsia" w:ascii="Times New Roman" w:hAnsi="Times New Roman" w:cs="Times New Roman"/>
        </w:rPr>
        <w:t>传承优秀历史文化，推动城乡建设高质量发展</w:t>
      </w:r>
      <w:r>
        <w:rPr>
          <w:rFonts w:ascii="Times New Roman" w:hAnsi="Times New Roman" w:cs="Times New Roman"/>
        </w:rPr>
        <w:t>，根据</w:t>
      </w:r>
      <w:r>
        <w:rPr>
          <w:rFonts w:hint="eastAsia" w:ascii="Times New Roman" w:hAnsi="Times New Roman" w:cs="Times New Roman"/>
        </w:rPr>
        <w:t>《中华人民共和国文物保护法》《历史文化名城名镇名村保护条例》等</w:t>
      </w:r>
      <w:r>
        <w:rPr>
          <w:rFonts w:ascii="Times New Roman" w:hAnsi="Times New Roman" w:cs="Times New Roman"/>
        </w:rPr>
        <w:t>有关法律法规规定，结合本</w:t>
      </w:r>
      <w:r>
        <w:rPr>
          <w:rFonts w:hint="eastAsia" w:ascii="Times New Roman" w:hAnsi="Times New Roman" w:cs="Times New Roman"/>
        </w:rPr>
        <w:t>市</w:t>
      </w:r>
      <w:r>
        <w:rPr>
          <w:rFonts w:ascii="Times New Roman" w:hAnsi="Times New Roman" w:cs="Times New Roman"/>
        </w:rPr>
        <w:t>实际，制定本条例。</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第二条【适用范围】</w:t>
      </w:r>
      <w:r>
        <w:rPr>
          <w:rFonts w:ascii="Times New Roman" w:hAnsi="Times New Roman" w:cs="Times New Roman"/>
        </w:rPr>
        <w:t>本</w:t>
      </w:r>
      <w:r>
        <w:rPr>
          <w:rFonts w:hint="eastAsia" w:ascii="Times New Roman" w:hAnsi="Times New Roman" w:cs="Times New Roman"/>
        </w:rPr>
        <w:t>市</w:t>
      </w:r>
      <w:r>
        <w:rPr>
          <w:rFonts w:ascii="Times New Roman" w:hAnsi="Times New Roman" w:cs="Times New Roman"/>
        </w:rPr>
        <w:t>行政区域内历史文化名城名镇名村</w:t>
      </w:r>
      <w:r>
        <w:rPr>
          <w:rFonts w:hint="eastAsia" w:ascii="Times New Roman" w:hAnsi="Times New Roman" w:cs="Times New Roman"/>
        </w:rPr>
        <w:t>（含历史文化街区、传统村落和历史建筑，下同）</w:t>
      </w:r>
      <w:r>
        <w:rPr>
          <w:rFonts w:ascii="Times New Roman" w:hAnsi="Times New Roman" w:cs="Times New Roman"/>
        </w:rPr>
        <w:t>的保护</w:t>
      </w:r>
      <w:r>
        <w:rPr>
          <w:rFonts w:hint="eastAsia" w:ascii="Times New Roman" w:hAnsi="Times New Roman" w:cs="Times New Roman"/>
        </w:rPr>
        <w:t>工作和相关活动</w:t>
      </w:r>
      <w:r>
        <w:rPr>
          <w:rFonts w:ascii="Times New Roman" w:hAnsi="Times New Roman" w:cs="Times New Roman"/>
        </w:rPr>
        <w:t>，适用本条例。</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涉及文物、工业遗产、非物质文化遗产、古树名木等保护工作，法律法规另有规定的，从其规定。</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第三条【保护原则】</w:t>
      </w:r>
      <w:r>
        <w:rPr>
          <w:rFonts w:hint="eastAsia" w:ascii="Times New Roman" w:hAnsi="Times New Roman" w:cs="Times New Roman"/>
        </w:rPr>
        <w:t>历史文化名城</w:t>
      </w:r>
      <w:r>
        <w:rPr>
          <w:rFonts w:ascii="Times New Roman" w:hAnsi="Times New Roman" w:cs="Times New Roman"/>
        </w:rPr>
        <w:t>名镇名村</w:t>
      </w:r>
      <w:r>
        <w:rPr>
          <w:rFonts w:hint="eastAsia" w:ascii="Times New Roman" w:hAnsi="Times New Roman" w:cs="Times New Roman"/>
        </w:rPr>
        <w:t>保护工作应当遵循科学规划、分类管理、保护优先、合理利用、融合发展、共治共享的原则。</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第四条【政府职责】</w:t>
      </w:r>
      <w:r>
        <w:rPr>
          <w:rFonts w:hint="eastAsia" w:ascii="Times New Roman" w:hAnsi="Times New Roman" w:cs="Times New Roman"/>
        </w:rPr>
        <w:t>市、县（市、区）人民政府（含黄石经济技术开发区管委会、黄石新港[物流]工业园区管委会，下同）应当加强历史文化名城名镇名村保护工作的领导，将保护工作纳入国民经济和社会发展规划，所需资金纳入本级财政预算，建立协同联动机制，协调解决保护工作中的重大问题。</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乡镇人民政府、街道办事处负责本辖区内历史文化名城名镇名村保护的日常管理工作。村（居）</w:t>
      </w:r>
      <w:r>
        <w:rPr>
          <w:rFonts w:hint="eastAsia" w:cs="Times New Roman"/>
          <w:lang w:eastAsia="zh-CN"/>
        </w:rPr>
        <w:t>民</w:t>
      </w:r>
      <w:bookmarkStart w:id="9" w:name="_GoBack"/>
      <w:bookmarkEnd w:id="9"/>
      <w:r>
        <w:rPr>
          <w:rFonts w:hint="eastAsia" w:ascii="Times New Roman" w:hAnsi="Times New Roman" w:cs="Times New Roman"/>
        </w:rPr>
        <w:t>委员会协助乡镇人民政府、街道办事处做好历史文化名城名镇名村保护工作。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第五条【部门职责】</w:t>
      </w:r>
      <w:r>
        <w:rPr>
          <w:rFonts w:hint="eastAsia" w:ascii="FangSong_GB2312" w:hAnsi="FangSong_GB2312" w:cs="Times New Roman"/>
        </w:rPr>
        <w:t>市</w:t>
      </w:r>
      <w:bookmarkStart w:id="0" w:name="_Hlk216079243"/>
      <w:r>
        <w:rPr>
          <w:rFonts w:hint="eastAsia" w:ascii="Times New Roman" w:hAnsi="Times New Roman" w:cs="Times New Roman"/>
        </w:rPr>
        <w:t>住房和城市更新</w:t>
      </w:r>
      <w:bookmarkEnd w:id="0"/>
      <w:r>
        <w:rPr>
          <w:rFonts w:ascii="Times New Roman" w:hAnsi="Times New Roman" w:cs="Times New Roman"/>
        </w:rPr>
        <w:t>部门</w:t>
      </w:r>
      <w:r>
        <w:rPr>
          <w:rFonts w:hint="eastAsia" w:ascii="Times New Roman" w:hAnsi="Times New Roman" w:cs="Times New Roman"/>
        </w:rPr>
        <w:t>负责全市历史文化名城名镇名村保护的统筹协调，历史文化名城、街区、历史建筑保护的指导和</w:t>
      </w:r>
      <w:r>
        <w:rPr>
          <w:rFonts w:ascii="Times New Roman" w:hAnsi="Times New Roman" w:cs="Times New Roman"/>
        </w:rPr>
        <w:t>监督</w:t>
      </w:r>
      <w:r>
        <w:rPr>
          <w:rFonts w:hint="eastAsia" w:ascii="Times New Roman" w:hAnsi="Times New Roman" w:cs="Times New Roman"/>
        </w:rPr>
        <w:t>管理工作</w:t>
      </w:r>
      <w:r>
        <w:rPr>
          <w:rFonts w:ascii="Times New Roman" w:hAnsi="Times New Roman" w:cs="Times New Roman"/>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市自然资源和城乡建设部门负责与历史文化名城名镇名村保护相关的城乡规划和建设管理，历史文化名镇、名村、传统村落保护的指导和监督管理工作。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bookmarkStart w:id="1" w:name="_Hlk218691548"/>
      <w:r>
        <w:rPr>
          <w:rFonts w:hint="eastAsia" w:ascii="Times New Roman" w:hAnsi="Times New Roman" w:cs="Times New Roman"/>
        </w:rPr>
        <w:t>县（市、区）住房和城乡建设部门</w:t>
      </w:r>
      <w:bookmarkEnd w:id="1"/>
      <w:r>
        <w:rPr>
          <w:rFonts w:hint="eastAsia" w:ascii="Times New Roman" w:hAnsi="Times New Roman" w:cs="Times New Roman"/>
        </w:rPr>
        <w:t>负责本辖区内历史文化名城名镇名村保护工作。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文化和旅游部门负责文物、文化、旅游的保护利用和监督管理工作。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发展改革、教育、经济和信息化、民族宗教、公安、民政、财政、生态环境、交通运输、水利和湖泊、农业农村、商务、城市管理、市场监管、应急管理、消防救援、档案管理等部门应当按照各自职责，做好历史文化名城名镇名村相关保护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六</w:t>
      </w:r>
      <w:r>
        <w:rPr>
          <w:rFonts w:ascii="SimHei" w:hAnsi="SimHei" w:eastAsia="SimHei" w:cs="Times New Roman"/>
        </w:rPr>
        <w:t>条【</w:t>
      </w:r>
      <w:r>
        <w:rPr>
          <w:rFonts w:hint="eastAsia" w:ascii="SimHei" w:hAnsi="SimHei" w:eastAsia="SimHei" w:cs="Times New Roman"/>
        </w:rPr>
        <w:t>社会参与</w:t>
      </w:r>
      <w:r>
        <w:rPr>
          <w:rFonts w:ascii="SimHei" w:hAnsi="SimHei" w:eastAsia="SimHei" w:cs="Times New Roman"/>
        </w:rPr>
        <w:t>】</w:t>
      </w:r>
      <w:r>
        <w:rPr>
          <w:rFonts w:ascii="Times New Roman" w:hAnsi="Times New Roman" w:cs="Times New Roman"/>
        </w:rPr>
        <w:t>鼓励</w:t>
      </w:r>
      <w:r>
        <w:rPr>
          <w:rFonts w:hint="eastAsia" w:ascii="Times New Roman" w:hAnsi="Times New Roman" w:cs="Times New Roman"/>
        </w:rPr>
        <w:t>自然人、法人和非法人组织设立历史文化名城名镇名村保护社会基金，</w:t>
      </w:r>
      <w:r>
        <w:rPr>
          <w:rFonts w:ascii="Times New Roman" w:hAnsi="Times New Roman" w:cs="Times New Roman"/>
        </w:rPr>
        <w:t>通过捐赠、投资、技术服务</w:t>
      </w:r>
      <w:r>
        <w:rPr>
          <w:rFonts w:hint="eastAsia" w:ascii="Times New Roman" w:hAnsi="Times New Roman" w:cs="Times New Roman"/>
        </w:rPr>
        <w:t>、志愿服务</w:t>
      </w:r>
      <w:r>
        <w:rPr>
          <w:rFonts w:ascii="Times New Roman" w:hAnsi="Times New Roman" w:cs="Times New Roman"/>
        </w:rPr>
        <w:t>等方式，参与历史文化名城名镇名村保护工作。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bookmarkStart w:id="2" w:name="_Hlk216079133"/>
      <w:r>
        <w:rPr>
          <w:rFonts w:ascii="SimHei" w:hAnsi="SimHei" w:eastAsia="SimHei" w:cs="Times New Roman"/>
        </w:rPr>
        <w:t>第</w:t>
      </w:r>
      <w:r>
        <w:rPr>
          <w:rFonts w:hint="eastAsia" w:ascii="SimHei" w:hAnsi="SimHei" w:eastAsia="SimHei" w:cs="Times New Roman"/>
        </w:rPr>
        <w:t>七</w:t>
      </w:r>
      <w:r>
        <w:rPr>
          <w:rFonts w:ascii="SimHei" w:hAnsi="SimHei" w:eastAsia="SimHei" w:cs="Times New Roman"/>
        </w:rPr>
        <w:t>条【宣传</w:t>
      </w:r>
      <w:r>
        <w:rPr>
          <w:rFonts w:hint="eastAsia" w:ascii="SimHei" w:hAnsi="SimHei" w:eastAsia="SimHei" w:cs="Times New Roman"/>
        </w:rPr>
        <w:t>引导</w:t>
      </w:r>
      <w:r>
        <w:rPr>
          <w:rFonts w:ascii="SimHei" w:hAnsi="SimHei" w:eastAsia="SimHei" w:cs="Times New Roman"/>
        </w:rPr>
        <w:t>】</w:t>
      </w:r>
      <w:r>
        <w:rPr>
          <w:rFonts w:hint="eastAsia" w:ascii="Times New Roman" w:hAnsi="Times New Roman" w:cs="Times New Roman"/>
        </w:rPr>
        <w:t>市</w:t>
      </w:r>
      <w:bookmarkEnd w:id="2"/>
      <w:r>
        <w:rPr>
          <w:rFonts w:hint="eastAsia" w:ascii="Times New Roman" w:hAnsi="Times New Roman" w:cs="Times New Roman"/>
        </w:rPr>
        <w:t>、县（市、区）人民政府</w:t>
      </w:r>
      <w:r>
        <w:rPr>
          <w:rFonts w:ascii="Times New Roman" w:hAnsi="Times New Roman" w:cs="Times New Roman"/>
        </w:rPr>
        <w:t>和有关部门应当</w:t>
      </w:r>
      <w:r>
        <w:rPr>
          <w:rFonts w:hint="eastAsia" w:ascii="Times New Roman" w:hAnsi="Times New Roman" w:cs="Times New Roman"/>
        </w:rPr>
        <w:t>加强历史文化名城名镇名村保护</w:t>
      </w:r>
      <w:r>
        <w:rPr>
          <w:rFonts w:ascii="Times New Roman" w:hAnsi="Times New Roman" w:cs="Times New Roman"/>
        </w:rPr>
        <w:t>的宣传</w:t>
      </w:r>
      <w:r>
        <w:rPr>
          <w:rFonts w:hint="eastAsia" w:ascii="Times New Roman" w:hAnsi="Times New Roman" w:cs="Times New Roman"/>
        </w:rPr>
        <w:t>引导</w:t>
      </w:r>
      <w:r>
        <w:rPr>
          <w:rFonts w:ascii="Times New Roman" w:hAnsi="Times New Roman" w:cs="Times New Roman"/>
        </w:rPr>
        <w:t>，普及保护知识，增强全社会保护意识。</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鼓励和支持广播、电视、报刊和网络等媒体开播历史文化名城名镇名村保护宣传栏目、文旅节目和公益性广告。</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SimHei" w:hAnsi="SimHei" w:eastAsia="SimHei" w:cs="Times New Roman"/>
        </w:rPr>
      </w:pPr>
      <w:r>
        <w:rPr>
          <w:rFonts w:ascii="SimHei" w:hAnsi="SimHei" w:eastAsia="SimHei" w:cs="Times New Roman"/>
        </w:rPr>
        <w:t>第</w:t>
      </w:r>
      <w:r>
        <w:rPr>
          <w:rFonts w:hint="eastAsia" w:ascii="SimHei" w:hAnsi="SimHei" w:eastAsia="SimHei" w:cs="Times New Roman"/>
        </w:rPr>
        <w:t>二</w:t>
      </w:r>
      <w:r>
        <w:rPr>
          <w:rFonts w:ascii="SimHei" w:hAnsi="SimHei" w:eastAsia="SimHei" w:cs="Times New Roman"/>
        </w:rPr>
        <w:t>章 保护</w:t>
      </w:r>
      <w:r>
        <w:rPr>
          <w:rFonts w:hint="eastAsia" w:ascii="SimHei" w:hAnsi="SimHei" w:eastAsia="SimHei" w:cs="Times New Roman"/>
        </w:rPr>
        <w:t>措施</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八</w:t>
      </w:r>
      <w:r>
        <w:rPr>
          <w:rFonts w:ascii="SimHei" w:hAnsi="SimHei" w:eastAsia="SimHei" w:cs="Times New Roman"/>
        </w:rPr>
        <w:t>条【</w:t>
      </w:r>
      <w:r>
        <w:rPr>
          <w:rFonts w:hint="eastAsia" w:ascii="SimHei" w:hAnsi="SimHei" w:eastAsia="SimHei" w:cs="Times New Roman"/>
        </w:rPr>
        <w:t>规划编制</w:t>
      </w:r>
      <w:r>
        <w:rPr>
          <w:rFonts w:ascii="SimHei" w:hAnsi="SimHei" w:eastAsia="SimHei" w:cs="Times New Roman"/>
        </w:rPr>
        <w:t>】</w:t>
      </w:r>
      <w:bookmarkStart w:id="3" w:name="_Hlk217421929"/>
      <w:r>
        <w:rPr>
          <w:rFonts w:hint="eastAsia" w:ascii="Times New Roman" w:hAnsi="Times New Roman" w:cs="Times New Roman"/>
        </w:rPr>
        <w:t>历史文化名城名镇名村经批准公布后，市、县（市）人民政府应当</w:t>
      </w:r>
      <w:bookmarkEnd w:id="3"/>
      <w:r>
        <w:rPr>
          <w:rFonts w:hint="eastAsia" w:ascii="Times New Roman" w:hAnsi="Times New Roman" w:cs="Times New Roman"/>
        </w:rPr>
        <w:t>按照国家和省相关规定，组织编制相应的保护规划，并办理相关审批和备案手续。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Times New Roman" w:hAnsi="Times New Roman" w:cs="Times New Roman"/>
        </w:rPr>
        <w:t>历史文化名城名镇名村保护规划应当包含国家、省相关规定的内容，体现整体保护，凸显黄石特色，传承工业文化、红色文化和荆楚文化。</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经依法批准的保护规划，不得擅自修改；确需修改的，应当按照原审批程序报送审批。</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九</w:t>
      </w:r>
      <w:r>
        <w:rPr>
          <w:rFonts w:ascii="SimHei" w:hAnsi="SimHei" w:eastAsia="SimHei" w:cs="Times New Roman"/>
        </w:rPr>
        <w:t>条【</w:t>
      </w:r>
      <w:r>
        <w:rPr>
          <w:rFonts w:hint="eastAsia" w:ascii="SimHei" w:hAnsi="SimHei" w:eastAsia="SimHei" w:cs="Times New Roman"/>
        </w:rPr>
        <w:t>规划衔接</w:t>
      </w:r>
      <w:r>
        <w:rPr>
          <w:rFonts w:ascii="SimHei" w:hAnsi="SimHei" w:eastAsia="SimHei" w:cs="Times New Roman"/>
        </w:rPr>
        <w:t>】</w:t>
      </w:r>
      <w:r>
        <w:rPr>
          <w:rFonts w:hint="eastAsia" w:ascii="Times New Roman" w:hAnsi="Times New Roman" w:cs="Times New Roman"/>
        </w:rPr>
        <w:t>历史文化名城名镇名村保护规划涉及自然环境、传统格局、历史风貌等保护要求，应当纳入同级国土空间规划、控制性详细规划，以及紫线和城市更新等专项规划。</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十</w:t>
      </w:r>
      <w:r>
        <w:rPr>
          <w:rFonts w:ascii="SimHei" w:hAnsi="SimHei" w:eastAsia="SimHei" w:cs="Times New Roman"/>
        </w:rPr>
        <w:t>条【</w:t>
      </w:r>
      <w:r>
        <w:rPr>
          <w:rFonts w:hint="eastAsia" w:ascii="SimHei" w:hAnsi="SimHei" w:eastAsia="SimHei" w:cs="Times New Roman"/>
        </w:rPr>
        <w:t>保护范围和要求</w:t>
      </w:r>
      <w:r>
        <w:rPr>
          <w:rFonts w:ascii="SimHei" w:hAnsi="SimHei" w:eastAsia="SimHei" w:cs="Times New Roman"/>
        </w:rPr>
        <w:t>】</w:t>
      </w:r>
      <w:r>
        <w:rPr>
          <w:rFonts w:hint="eastAsia" w:ascii="Times New Roman" w:hAnsi="Times New Roman" w:cs="Times New Roman"/>
        </w:rPr>
        <w:t>编制历史文化名城名镇名村保护规划，应当按照国家和省市相关规定，综合考虑地方经济发展、传承利用、周边居（村）民建设和民生等需求，明确核心保护范围、建设控制地带和管控要求。</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ascii="SimHei" w:hAnsi="SimHei" w:eastAsia="SimHei" w:cs="Times New Roman"/>
        </w:rPr>
        <w:t>第</w:t>
      </w:r>
      <w:r>
        <w:rPr>
          <w:rFonts w:hint="eastAsia" w:ascii="SimHei" w:hAnsi="SimHei" w:eastAsia="SimHei" w:cs="Times New Roman"/>
        </w:rPr>
        <w:t>十一</w:t>
      </w:r>
      <w:r>
        <w:rPr>
          <w:rFonts w:ascii="SimHei" w:hAnsi="SimHei" w:eastAsia="SimHei" w:cs="Times New Roman"/>
        </w:rPr>
        <w:t>条【</w:t>
      </w:r>
      <w:r>
        <w:rPr>
          <w:rFonts w:hint="eastAsia" w:ascii="SimHei" w:hAnsi="SimHei" w:eastAsia="SimHei" w:cs="Times New Roman"/>
        </w:rPr>
        <w:t>保护责任人</w:t>
      </w:r>
      <w:r>
        <w:rPr>
          <w:rFonts w:ascii="SimHei" w:hAnsi="SimHei" w:eastAsia="SimHei" w:cs="Times New Roman"/>
        </w:rPr>
        <w:t>】</w:t>
      </w:r>
      <w:r>
        <w:rPr>
          <w:rFonts w:hint="eastAsia"/>
        </w:rPr>
        <w:t>保护责任人按照下列规定确定：</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（一）历史文化名城的保护责任人为市、</w:t>
      </w:r>
      <w:bookmarkStart w:id="4" w:name="_Hlk218673537"/>
      <w:r>
        <w:rPr>
          <w:rFonts w:hint="eastAsia"/>
        </w:rPr>
        <w:t>县（市）</w:t>
      </w:r>
      <w:bookmarkEnd w:id="4"/>
      <w:r>
        <w:rPr>
          <w:rFonts w:hint="eastAsia"/>
        </w:rPr>
        <w:t>人民政府；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（二）历史文化名镇、名村、传统村落的保护责任人为所在地乡镇人民政府或者街道办事处；</w:t>
      </w:r>
      <w:r>
        <w:t xml:space="preserve"> </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（三）历史文化街区的保护责任人为所在地县（市、区）人民政府；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（四）国有历史建筑的产权或者使用单位为保护责任人；非国有历史建筑的所有权人为保护责任人；没有管理单位的历史建筑，由所在地县（市、区）人民政府确定保护责任人；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hint="eastAsia"/>
        </w:rPr>
        <w:t>（五）其他保护对象的保护责任人，法律法规有规定的适用其规定；法律法规未规定保护责任人的，由所在地县（市</w:t>
      </w:r>
      <w:bookmarkStart w:id="5" w:name="_Hlk218742590"/>
      <w:r>
        <w:rPr>
          <w:rFonts w:hint="eastAsia"/>
        </w:rPr>
        <w:t>、区</w:t>
      </w:r>
      <w:bookmarkEnd w:id="5"/>
      <w:r>
        <w:rPr>
          <w:rFonts w:hint="eastAsia"/>
        </w:rPr>
        <w:t>）人民政府确定保护责任人。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市、县（市、区）人民政府应当通过保护方案、保护管理责任书等方式，明确保护管理责任和措施，并向社会公布保护责任人名单及监督电话等。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ascii="SimHei" w:hAnsi="SimHei" w:eastAsia="SimHei" w:cs="Times New Roman"/>
        </w:rPr>
        <w:t>第</w:t>
      </w:r>
      <w:r>
        <w:rPr>
          <w:rFonts w:hint="eastAsia" w:ascii="SimHei" w:hAnsi="SimHei" w:eastAsia="SimHei" w:cs="Times New Roman"/>
        </w:rPr>
        <w:t>十二</w:t>
      </w:r>
      <w:r>
        <w:rPr>
          <w:rFonts w:ascii="SimHei" w:hAnsi="SimHei" w:eastAsia="SimHei" w:cs="Times New Roman"/>
        </w:rPr>
        <w:t>条【</w:t>
      </w:r>
      <w:r>
        <w:rPr>
          <w:rFonts w:hint="eastAsia" w:ascii="SimHei" w:hAnsi="SimHei" w:eastAsia="SimHei" w:cs="Times New Roman"/>
        </w:rPr>
        <w:t>标牌管理</w:t>
      </w:r>
      <w:r>
        <w:rPr>
          <w:rFonts w:ascii="SimHei" w:hAnsi="SimHei" w:eastAsia="SimHei" w:cs="Times New Roman"/>
        </w:rPr>
        <w:t>】</w:t>
      </w:r>
      <w:r>
        <w:rPr>
          <w:rFonts w:hint="eastAsia"/>
        </w:rPr>
        <w:t>县（市、区）人民政府应当按照国家、省有关规定，在历史文化街区、名镇、名村、传统村落核心保护范围的主要出入口、历史建筑外部显著位置设置保护标志牌。</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县（市、区）住房和城乡建设部门应当统一规范保护标志牌，定期组织巡查维护，及时整改保护标志牌破损、遮挡、设置不规范等问题。</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任何单位和个人不得擅自设置、移动、涂改或者损毁保护标志牌。</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ascii="SimHei" w:hAnsi="SimHei" w:eastAsia="SimHei" w:cs="Times New Roman"/>
        </w:rPr>
        <w:t>第</w:t>
      </w:r>
      <w:r>
        <w:rPr>
          <w:rFonts w:hint="eastAsia" w:ascii="SimHei" w:hAnsi="SimHei" w:eastAsia="SimHei" w:cs="Times New Roman"/>
        </w:rPr>
        <w:t>十三</w:t>
      </w:r>
      <w:r>
        <w:rPr>
          <w:rFonts w:ascii="SimHei" w:hAnsi="SimHei" w:eastAsia="SimHei" w:cs="Times New Roman"/>
        </w:rPr>
        <w:t>条【</w:t>
      </w:r>
      <w:r>
        <w:rPr>
          <w:rFonts w:hint="eastAsia" w:ascii="SimHei" w:hAnsi="SimHei" w:eastAsia="SimHei" w:cs="Times New Roman"/>
        </w:rPr>
        <w:t>信息化建设</w:t>
      </w:r>
      <w:r>
        <w:rPr>
          <w:rFonts w:ascii="SimHei" w:hAnsi="SimHei" w:eastAsia="SimHei" w:cs="Times New Roman"/>
        </w:rPr>
        <w:t>】</w:t>
      </w:r>
      <w:r>
        <w:rPr>
          <w:rFonts w:hint="eastAsia"/>
        </w:rPr>
        <w:t>市住房和城市更新、自然资源和城乡建设部门应当会同文化和旅游部门开展历史文化资源的数字化信息采集和测绘建档工作，建立保护对象名录和档案，并动态维护更新。</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十四</w:t>
      </w:r>
      <w:r>
        <w:rPr>
          <w:rFonts w:ascii="SimHei" w:hAnsi="SimHei" w:eastAsia="SimHei" w:cs="Times New Roman"/>
        </w:rPr>
        <w:t>条【禁止行为】</w:t>
      </w:r>
      <w:r>
        <w:rPr>
          <w:rFonts w:ascii="Times New Roman" w:hAnsi="Times New Roman" w:cs="Times New Roman"/>
        </w:rPr>
        <w:t>在历史文化名城名镇名村保护范围内禁止进行下列活动：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bookmarkStart w:id="6" w:name="_Hlk218857882"/>
      <w:r>
        <w:rPr>
          <w:rFonts w:ascii="Times New Roman" w:hAnsi="Times New Roman" w:cs="Times New Roman"/>
        </w:rPr>
        <w:t>（一）开山、采石、开矿等破坏传统格局和历史风貌的活动；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Times New Roman" w:hAnsi="Times New Roman" w:cs="Times New Roman"/>
        </w:rPr>
        <w:t>（二）占用保护规划确定保留的园林绿地、河湖水系、道路等；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Times New Roman" w:hAnsi="Times New Roman" w:cs="Times New Roman"/>
        </w:rPr>
        <w:t>（三）修建生产、储存爆炸性、易燃性、放射性、毒害性、腐蚀性物品的工厂、仓库等；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Times New Roman" w:hAnsi="Times New Roman" w:cs="Times New Roman"/>
        </w:rPr>
        <w:t>（四）在历史建筑上刻划、涂污</w:t>
      </w:r>
      <w:r>
        <w:rPr>
          <w:rFonts w:hint="eastAsia" w:ascii="Times New Roman" w:hAnsi="Times New Roman" w:cs="Times New Roman"/>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（五）</w:t>
      </w:r>
      <w:bookmarkStart w:id="7" w:name="_Hlk218861091"/>
      <w:r>
        <w:rPr>
          <w:rFonts w:hint="eastAsia"/>
        </w:rPr>
        <w:t>非法拆卸、转让历史建筑构件，在历史建筑内堆放易燃、易爆和腐蚀性等危险物品</w:t>
      </w:r>
      <w:bookmarkEnd w:id="7"/>
      <w:r>
        <w:rPr>
          <w:rFonts w:hint="eastAsia"/>
        </w:rPr>
        <w:t>等；</w:t>
      </w:r>
      <w:r>
        <w:rPr>
          <w:rFonts w:ascii="Times New Roman" w:hAnsi="Times New Roman" w:cs="Times New Roman"/>
        </w:rPr>
        <w:t xml:space="preserve">                                                 </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六</w:t>
      </w:r>
      <w:r>
        <w:rPr>
          <w:rFonts w:ascii="Times New Roman" w:hAnsi="Times New Roman" w:cs="Times New Roman"/>
        </w:rPr>
        <w:t>）</w:t>
      </w:r>
      <w:r>
        <w:rPr>
          <w:rFonts w:hint="eastAsia" w:ascii="Times New Roman" w:hAnsi="Times New Roman" w:cs="Times New Roman"/>
        </w:rPr>
        <w:t>违反</w:t>
      </w:r>
      <w:r>
        <w:rPr>
          <w:rFonts w:ascii="Times New Roman" w:hAnsi="Times New Roman" w:cs="Times New Roman"/>
        </w:rPr>
        <w:t>建筑高度、</w:t>
      </w:r>
      <w:r>
        <w:rPr>
          <w:rFonts w:hint="eastAsia" w:ascii="Times New Roman" w:hAnsi="Times New Roman" w:cs="Times New Roman"/>
        </w:rPr>
        <w:t>体量、风格、</w:t>
      </w:r>
      <w:r>
        <w:rPr>
          <w:rFonts w:ascii="Times New Roman" w:hAnsi="Times New Roman" w:cs="Times New Roman"/>
        </w:rPr>
        <w:t>色彩等</w:t>
      </w:r>
      <w:r>
        <w:rPr>
          <w:rFonts w:hint="eastAsia" w:ascii="Times New Roman" w:hAnsi="Times New Roman" w:cs="Times New Roman"/>
        </w:rPr>
        <w:t>管控</w:t>
      </w:r>
      <w:r>
        <w:rPr>
          <w:rFonts w:ascii="Times New Roman" w:hAnsi="Times New Roman" w:cs="Times New Roman"/>
        </w:rPr>
        <w:t xml:space="preserve">要求的建设活动；                                                                 </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Times New Roman" w:hAnsi="Times New Roman" w:cs="Times New Roman"/>
        </w:rPr>
        <w:t>（</w:t>
      </w:r>
      <w:r>
        <w:rPr>
          <w:rFonts w:hint="eastAsia" w:ascii="Times New Roman" w:hAnsi="Times New Roman" w:cs="Times New Roman"/>
        </w:rPr>
        <w:t>七</w:t>
      </w:r>
      <w:r>
        <w:rPr>
          <w:rFonts w:ascii="Times New Roman" w:hAnsi="Times New Roman" w:cs="Times New Roman"/>
        </w:rPr>
        <w:t>）设置破坏或者影响风貌的</w:t>
      </w:r>
      <w:r>
        <w:rPr>
          <w:rFonts w:hint="eastAsia" w:ascii="Times New Roman" w:hAnsi="Times New Roman" w:cs="Times New Roman"/>
        </w:rPr>
        <w:t>广告、招牌、标语宣传品等</w:t>
      </w:r>
      <w:r>
        <w:rPr>
          <w:rFonts w:ascii="Times New Roman" w:hAnsi="Times New Roman" w:cs="Times New Roman"/>
        </w:rPr>
        <w:t>；</w:t>
      </w:r>
      <w:bookmarkEnd w:id="6"/>
      <w:r>
        <w:rPr>
          <w:rFonts w:ascii="Times New Roman" w:hAnsi="Times New Roman" w:cs="Times New Roman"/>
        </w:rPr>
        <w:t xml:space="preserve">                           </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ascii="Times New Roman" w:hAnsi="Times New Roman" w:cs="Times New Roman"/>
        </w:rPr>
        <w:t>（</w:t>
      </w:r>
      <w:r>
        <w:rPr>
          <w:rFonts w:hint="eastAsia" w:ascii="Times New Roman" w:hAnsi="Times New Roman" w:cs="Times New Roman"/>
        </w:rPr>
        <w:t>八</w:t>
      </w:r>
      <w:r>
        <w:rPr>
          <w:rFonts w:ascii="Times New Roman" w:hAnsi="Times New Roman" w:cs="Times New Roman"/>
        </w:rPr>
        <w:t>）法律、法规禁止的其他行为。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rPr>
        <w:t>第十五条【城乡建设】</w:t>
      </w:r>
      <w:r>
        <w:rPr>
          <w:rFonts w:hint="eastAsia"/>
        </w:rPr>
        <w:t>市、县（市、区）人民政府应当按照历史文化街区、历史建筑等保护要求，通过功能改变、修缮加固等方式进行更新改造，采用微改造方式增加公共开放空间，加强重点地段建设活动管控和建筑设计引导，彰显城乡特色。</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市、县（市、区）人民政府应当完善历史文化名城名镇名村保护范围内供水、供电、燃气、道路、生活垃圾处理、排水与污水处理、消防、安防、通讯等基础设施和公共服务设施。</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rPr>
        <w:t>第十六条【建设保护】</w:t>
      </w:r>
      <w:r>
        <w:rPr>
          <w:rFonts w:hint="eastAsia"/>
        </w:rPr>
        <w:t>县（市、区）人民政府开展城市更新改造、征地拆迁、土地储备前，应当组织开展历史文化资源调查评估。未完成历史文化资源调查评估的，不得拆除、征收相关建（构）筑物，或者入库储备土地。</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hint="eastAsia"/>
        </w:rPr>
        <w:t>公路、铁路、高压电力线路、输油管线、燃气干线管道原则上不得穿越历史文化街区、名镇、名村的核心保护范围。已经建设的，应当按照保护规划，结合地方实际逐步迁出。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rPr>
        <w:t>第十七条【建设管控】</w:t>
      </w:r>
      <w:r>
        <w:rPr>
          <w:rFonts w:hint="eastAsia"/>
        </w:rPr>
        <w:t>在历史文化街区、名镇、名村核心保护范围内，不得进行新建、扩建活动。但是，新建、扩建必要的基础设施和公共服务设施除外。新建、扩建必要的基础设施和公共服务设施，或者拆除历史建筑以外的建筑物、构筑物或者其他设施的，应当依法办理审批手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历史文化街区、名镇、名村建设控制地带范围内新建建（构）筑物，应当符合保护规划确定的建设控制要求。</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hint="eastAsia"/>
        </w:rPr>
        <w:t>历史文化街区、名镇、名村保护范围内与传统格局、历史风貌不协调的已建建（构）筑物，按照保护规划进行整治提升。</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rPr>
        <w:t>第十八条【历史建筑维护修缮】</w:t>
      </w:r>
      <w:r>
        <w:rPr>
          <w:rFonts w:hint="eastAsia"/>
        </w:rPr>
        <w:t>对历史建筑实施原址保护，或者因公共利益需要进行建设活动，对历史建筑无法实施原址保护、必须迁移异地保护或者拆除的，应当依法办理审批手续。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对历史建筑进行外部修缮装饰、添加设施以及改变历史建筑的结构或者使用性质的，应当依法办理审批手续。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鼓励优先采用传统工艺、传统技术、传统材料进行维护和修缮，并配建防火、防雷、防虫、排水等设备设施。</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rPr>
        <w:t>第十九条【代修代管】</w:t>
      </w:r>
      <w:r>
        <w:rPr>
          <w:rFonts w:hint="eastAsia"/>
        </w:rPr>
        <w:t>历史建筑有损毁危险，保护责任人不具备维护和修缮能力的，市、县（市、区）人民政府应当及时组织加固修缮，消除安全隐患，或者通过产权置换、收购、托管、接受捐赠等方式进行保护。</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rPr>
        <w:t>市、县（市、区）人民政府应当组织相关部门制定历史建筑维护和修缮、产权置换、收购、托管等补助标准和程序。</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SimHei" w:hAnsi="SimHei" w:eastAsia="SimHei" w:cs="Times New Roman"/>
        </w:rPr>
      </w:pPr>
      <w:r>
        <w:rPr>
          <w:rFonts w:ascii="SimHei" w:hAnsi="SimHei" w:eastAsia="SimHei" w:cs="Times New Roman"/>
        </w:rPr>
        <w:t>第</w:t>
      </w:r>
      <w:r>
        <w:rPr>
          <w:rFonts w:hint="eastAsia" w:ascii="SimHei" w:hAnsi="SimHei" w:eastAsia="SimHei" w:cs="Times New Roman"/>
        </w:rPr>
        <w:t>三</w:t>
      </w:r>
      <w:r>
        <w:rPr>
          <w:rFonts w:ascii="SimHei" w:hAnsi="SimHei" w:eastAsia="SimHei" w:cs="Times New Roman"/>
        </w:rPr>
        <w:t xml:space="preserve">章 </w:t>
      </w:r>
      <w:r>
        <w:rPr>
          <w:rFonts w:hint="eastAsia" w:ascii="SimHei" w:hAnsi="SimHei" w:eastAsia="SimHei" w:cs="Times New Roman"/>
        </w:rPr>
        <w:t>传承利用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第二十条【实施方案】</w:t>
      </w:r>
      <w:r>
        <w:rPr>
          <w:rFonts w:hint="eastAsia" w:ascii="Times New Roman" w:hAnsi="Times New Roman" w:cs="Times New Roman"/>
        </w:rPr>
        <w:t>市、县（市、区）人民政府应当按照省城乡历史文化保护传承体系规划和相关保护规划要求，制定历史文化名城名镇名村保护与利用的实施方案，明确工作目标、重点任务、保障措施等内容。</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SimHei" w:hAnsi="SimHei" w:eastAsia="SimHei" w:cs="Times New Roman"/>
        </w:rPr>
        <w:t>第二十一条【连片创建和旅游景区创建】</w:t>
      </w:r>
      <w:r>
        <w:rPr>
          <w:rFonts w:hint="eastAsia" w:ascii="Times New Roman" w:hAnsi="Times New Roman" w:cs="Times New Roman"/>
        </w:rPr>
        <w:t>市、县（市、区）人民政府应当采取相关措施，推进历史文化街区、名镇、名村、传统村落的集中连片示范创建工作，支持相关旅游景区创建和等级提升，发挥传承利用的规模效应和周边辐射作用。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第二十二条【文旅和乡村建设】</w:t>
      </w:r>
      <w:r>
        <w:rPr>
          <w:rFonts w:hint="eastAsia" w:ascii="Times New Roman" w:hAnsi="Times New Roman" w:cs="Times New Roman"/>
        </w:rPr>
        <w:t>市、县（市、区）人民政府应当依托历史文化资源，发展区域特色文旅产业和传统手工业，加强文旅景区、地方特产的品牌建设，结合文化旅游、生态农业、乡村振兴、推动县域经济高质量发展。</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鼓励和支持与传统文化保护传承相协调的传统工艺、传统技艺加工制作等经营活动。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pPr>
      <w:r>
        <w:rPr>
          <w:rFonts w:hint="eastAsia" w:ascii="SimHei" w:hAnsi="SimHei" w:eastAsia="SimHei" w:cs="Times New Roman"/>
        </w:rPr>
        <w:t>第二十三条【历史文化街区活化利用】</w:t>
      </w:r>
      <w:r>
        <w:rPr>
          <w:rFonts w:hint="eastAsia"/>
        </w:rPr>
        <w:t>县（市、区）人民政府应当</w:t>
      </w:r>
      <w:r>
        <w:rPr>
          <w:rFonts w:hint="eastAsia" w:ascii="Times New Roman" w:hAnsi="Times New Roman" w:cs="Times New Roman"/>
        </w:rPr>
        <w:t>拓展资金渠道和场地支持，引导居民、专业人士参与街区改造和业态升级，培育特色文化的挖掘与研究，加强数字化产品应用，强化文旅和互联网推广，推动辖区内历史文化街区的特色文化传承和活化利用。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Times New Roman" w:hAnsi="Times New Roman" w:cs="Times New Roman"/>
        </w:rPr>
        <w:t>鼓励厂矿、学校等单位采取隔离、设置通道、安防等相关措施，确保生产和教学等区域安全，将单位内部的历史文化街区、历史建筑向社会公众开放。</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第二十四条【历史建筑活化利用】</w:t>
      </w:r>
      <w:r>
        <w:rPr>
          <w:rFonts w:hint="eastAsia" w:ascii="Times New Roman" w:hAnsi="Times New Roman" w:cs="Times New Roman"/>
        </w:rPr>
        <w:t>历史建筑保护责任人可以在确保建筑安全、保持原有外观风貌和典型构件的基础上，通过添加、更新和完善相关设备设施等方式适应现代生产生活需要。鼓励合理利用历史建筑开设博物馆、方志馆、传统工艺作坊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Times New Roman" w:hAnsi="Times New Roman" w:cs="Times New Roman"/>
        </w:rPr>
        <w:t>国有历史建筑可以通过出租等方式合理利用，所获收益用于历史建筑的维护和修缮以及改善周边公共环境等。</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SimHei" w:hAnsi="SimHei" w:eastAsia="SimHei" w:cs="Times New Roman"/>
        </w:rPr>
        <w:t>第二十五条【名镇名村（传统村落）活化利用】</w:t>
      </w:r>
      <w:r>
        <w:rPr>
          <w:rFonts w:hint="eastAsia"/>
        </w:rPr>
        <w:t>县（市）人民政府应当加强辖区内历史文化</w:t>
      </w:r>
      <w:r>
        <w:rPr>
          <w:rFonts w:hint="eastAsia" w:ascii="Times New Roman" w:hAnsi="Times New Roman" w:cs="Times New Roman"/>
        </w:rPr>
        <w:t>名镇、名村、传统村落的特色文化传承和活化利用，采取政策和资金支持、引入专业机构、</w:t>
      </w:r>
      <w:r>
        <w:rPr>
          <w:rFonts w:ascii="Times New Roman" w:hAnsi="Times New Roman" w:cs="Times New Roman"/>
        </w:rPr>
        <w:t>村民参与</w:t>
      </w:r>
      <w:r>
        <w:rPr>
          <w:rFonts w:hint="eastAsia" w:ascii="Times New Roman" w:hAnsi="Times New Roman" w:cs="Times New Roman"/>
        </w:rPr>
        <w:t>、交流学习等方式，拓展历史文化资源的应用场景，扶持老字号、非物质文化遗产代表项目，培育文化创意产业，支持文旅和农贸节会活动、采茶戏、说书等民间表演、布贴等传统工艺的优化设计和应用。</w:t>
      </w:r>
      <w:r>
        <w:rPr>
          <w:rFonts w:ascii="Times New Roman" w:hAnsi="Times New Roman" w:cs="Times New Roman"/>
        </w:rPr>
        <w:t>借助民间力量，复原传统工艺，更新传统建筑保护修缮技术。开展传统工匠培训。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第二十六条【原址活化利用】</w:t>
      </w:r>
      <w:r>
        <w:rPr>
          <w:rFonts w:hint="eastAsia" w:ascii="Times New Roman" w:hAnsi="Times New Roman" w:cs="Times New Roman"/>
        </w:rPr>
        <w:t>历史文化名城名镇名村的传承利用应当尊重原住居（村）民的意愿，在符合保护规划的前提下，改善人居环境，促进其原有形态、生活方式的延续传承，鼓励原住居（村）民在原址居住，从事与当地特色产业相关的生产经营活动。</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SimHei" w:hAnsi="SimHei" w:eastAsia="SimHei" w:cs="Times New Roman"/>
        </w:rPr>
      </w:pPr>
      <w:r>
        <w:rPr>
          <w:rFonts w:ascii="SimHei" w:hAnsi="SimHei" w:eastAsia="SimHei" w:cs="Times New Roman"/>
        </w:rPr>
        <w:t>第</w:t>
      </w:r>
      <w:r>
        <w:rPr>
          <w:rFonts w:hint="eastAsia" w:ascii="SimHei" w:hAnsi="SimHei" w:eastAsia="SimHei" w:cs="Times New Roman"/>
        </w:rPr>
        <w:t>四</w:t>
      </w:r>
      <w:r>
        <w:rPr>
          <w:rFonts w:ascii="SimHei" w:hAnsi="SimHei" w:eastAsia="SimHei" w:cs="Times New Roman"/>
        </w:rPr>
        <w:t xml:space="preserve">章 </w:t>
      </w:r>
      <w:r>
        <w:rPr>
          <w:rFonts w:hint="eastAsia" w:ascii="SimHei" w:hAnsi="SimHei" w:eastAsia="SimHei" w:cs="Times New Roman"/>
        </w:rPr>
        <w:t>保障和监督</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第二十七条【政策支持】</w:t>
      </w:r>
      <w:r>
        <w:rPr>
          <w:rFonts w:hint="eastAsia" w:ascii="Times New Roman" w:hAnsi="Times New Roman" w:cs="Times New Roman"/>
        </w:rPr>
        <w:t>市、县（市、区）人民政府及其有关部门应当制定和完善土地、规划、建设、财政、金融等政策措施，加强各类资金、资源、项目的统筹和整合，加大对历史文化名城名镇名村保护工作的支持力度。</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第二十八条【协同支持】</w:t>
      </w:r>
      <w:r>
        <w:rPr>
          <w:rFonts w:hint="eastAsia" w:ascii="Times New Roman" w:hAnsi="Times New Roman" w:cs="Times New Roman"/>
        </w:rPr>
        <w:t>市、县（市、区）人民政府应当建立历史文化名城名镇名村保护利用资源数据库，加强住房和城市更新、自然资源和城乡建设、文化和旅游、生态环境、水利和湖泊、交通运输、市场监管、城管执法、消防救援等部门的数据共享，促进业务协同，优化政务服务。</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住房和城市更新、自然资源和城乡建设、文化和旅游等部门应当加强历史文化资源的普查、整理和研究，推动地方志编修，支持互联网地图服务，挖掘和阐释文化价值和精神内涵，推动移动终端、视频平台、网站等数字化开发应用和展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rPr>
      </w:pPr>
      <w:r>
        <w:rPr>
          <w:rFonts w:hint="eastAsia" w:ascii="SimHei" w:hAnsi="SimHei" w:eastAsia="SimHei"/>
        </w:rPr>
        <w:t>第二十九条【安全保障】</w:t>
      </w:r>
      <w:r>
        <w:rPr>
          <w:rFonts w:hint="eastAsia"/>
        </w:rPr>
        <w:t>市、县（市、区）人民政府应当组织相关部门制定历史文化名城名镇名村保护的应急处置预案或者安全保障方案，综合运用人防、物防、技防等手段，提高防灾减灾救灾能力。</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SimHei" w:hAnsi="SimHei" w:eastAsia="SimHei" w:cs="Times New Roman"/>
        </w:rPr>
        <w:t>第三十条【专业队伍建设】</w:t>
      </w:r>
      <w:r>
        <w:rPr>
          <w:rFonts w:hint="eastAsia" w:ascii="Times New Roman" w:hAnsi="Times New Roman" w:cs="Times New Roman"/>
        </w:rPr>
        <w:t>市、县（市）人民政府根据工作需要设立历史文化名城名镇名村保护专家委员会，由规划、建设、文旅等相关领域专家组成，负责相关认定、评审、方案制定、专项治理等咨询工作。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市住房和城市更新、自然资源和城乡建设、文化和旅游部门根据工作需要建立历史文化保护传承专家库、历史建筑修缮设计和施工企业名录，开展历史文化保护传承技术和基层管理人员、历史文化传承人和工匠的培训。</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鼓励和支持高等院校、职业学校开设地方文化研究、建筑建造技艺、传统手工艺等相关课程，推进相关学科专业建设。</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第三十一条【监督检查】</w:t>
      </w:r>
      <w:r>
        <w:rPr>
          <w:rFonts w:hint="eastAsia" w:ascii="Times New Roman" w:hAnsi="Times New Roman" w:cs="Times New Roman"/>
        </w:rPr>
        <w:t>住房和城市更新、自然资源和城乡建设、文化和旅游等部门应当加强对历史文化名城名镇名村保护实施情况的监督检查，及时整改存在的问题，定期对保护状况进行评估，并向同级人民政府报告。</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第三十二条【基层共治】</w:t>
      </w:r>
      <w:r>
        <w:rPr>
          <w:rFonts w:hint="eastAsia" w:ascii="Times New Roman" w:hAnsi="Times New Roman" w:cs="Times New Roman"/>
        </w:rPr>
        <w:t>街道办事处、乡镇人民政府应当加强对历史文化街区、名镇、名村、传统村落保护情况的日常巡查；发现违法行为的，应当及时报告有关部门。</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鼓励居（村）民委员会通过居民公约、村规民约等方式，引导居（村）民参与相关保护工作。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Times New Roman" w:hAnsi="Times New Roman" w:cs="Times New Roman"/>
        </w:rPr>
        <w:t>鼓励历史文化街区、名镇、名村、传统村落内的市场主体通过行业自律、服务规范、合同等方式，实行规范管理，推动业态提升。</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SimHei" w:hAnsi="SimHei" w:eastAsia="SimHei" w:cs="Times New Roman"/>
        </w:rPr>
        <w:t>第三十三条【检察监督】</w:t>
      </w:r>
      <w:r>
        <w:rPr>
          <w:rFonts w:hint="eastAsia" w:ascii="Times New Roman" w:hAnsi="Times New Roman" w:cs="Times New Roman"/>
        </w:rPr>
        <w:t>因违反历史文化名城名镇名村保护规定以及历史文化街区、历史建筑损害或者存在损害风险，致使国家利益或者社会公共利益受到侵害的，检察机关可以依法提起公益诉讼。相关部门应当建立健全行政执法与检察公益诉讼协作机制，协同配合检察机关开展公益诉讼工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hint="eastAsia" w:ascii="SimHei" w:hAnsi="SimHei" w:eastAsia="SimHei" w:cs="Times New Roman"/>
        </w:rPr>
        <w:t>第三十四条【社会监督】</w:t>
      </w:r>
      <w:r>
        <w:rPr>
          <w:rFonts w:hint="eastAsia" w:ascii="Times New Roman" w:hAnsi="Times New Roman" w:cs="Times New Roman"/>
        </w:rPr>
        <w:t>任何单位和个人发现违反历史文化名城名镇名村保护规定的行为，有权向相关部门投诉举报；相关部门应当依据职责分工及时调查处理，对投诉举报人的信息予以保密。</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SimHei" w:hAnsi="SimHei" w:eastAsia="SimHei" w:cs="Times New Roman"/>
        </w:rPr>
      </w:pPr>
      <w:r>
        <w:rPr>
          <w:rFonts w:ascii="SimHei" w:hAnsi="SimHei" w:eastAsia="SimHei" w:cs="Times New Roman"/>
        </w:rPr>
        <w:t>第</w:t>
      </w:r>
      <w:r>
        <w:rPr>
          <w:rFonts w:hint="eastAsia" w:ascii="SimHei" w:hAnsi="SimHei" w:eastAsia="SimHei" w:cs="Times New Roman"/>
        </w:rPr>
        <w:t>五</w:t>
      </w:r>
      <w:r>
        <w:rPr>
          <w:rFonts w:ascii="SimHei" w:hAnsi="SimHei" w:eastAsia="SimHei" w:cs="Times New Roman"/>
        </w:rPr>
        <w:t xml:space="preserve">章 </w:t>
      </w:r>
      <w:r>
        <w:rPr>
          <w:rFonts w:hint="eastAsia" w:ascii="SimHei" w:hAnsi="SimHei" w:eastAsia="SimHei" w:cs="Times New Roman"/>
        </w:rPr>
        <w:t>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ascii="SimHei" w:hAnsi="SimHei" w:eastAsia="SimHei" w:cs="Times New Roman"/>
        </w:rPr>
        <w:t>第</w:t>
      </w:r>
      <w:r>
        <w:rPr>
          <w:rFonts w:hint="eastAsia" w:ascii="SimHei" w:hAnsi="SimHei" w:eastAsia="SimHei" w:cs="Times New Roman"/>
        </w:rPr>
        <w:t>三十五</w:t>
      </w:r>
      <w:r>
        <w:rPr>
          <w:rFonts w:ascii="SimHei" w:hAnsi="SimHei" w:eastAsia="SimHei" w:cs="Times New Roman"/>
        </w:rPr>
        <w:t>条</w:t>
      </w:r>
      <w:r>
        <w:rPr>
          <w:rFonts w:hint="eastAsia" w:ascii="SimHei" w:hAnsi="SimHei" w:eastAsia="SimHei" w:cs="Times New Roman"/>
        </w:rPr>
        <w:t>【适用指引】</w:t>
      </w:r>
      <w:r>
        <w:rPr>
          <w:rFonts w:hint="eastAsia" w:ascii="Times New Roman" w:hAnsi="Times New Roman" w:cs="Times New Roman"/>
        </w:rPr>
        <w:t>违反本条例，法律、法规有处罚规定的，从其规定。</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ascii="SimHei" w:hAnsi="SimHei" w:eastAsia="SimHei" w:cs="Times New Roman"/>
        </w:rPr>
        <w:t>第</w:t>
      </w:r>
      <w:r>
        <w:rPr>
          <w:rFonts w:hint="eastAsia" w:ascii="SimHei" w:hAnsi="SimHei" w:eastAsia="SimHei" w:cs="Times New Roman"/>
        </w:rPr>
        <w:t>三十六</w:t>
      </w:r>
      <w:r>
        <w:rPr>
          <w:rFonts w:ascii="SimHei" w:hAnsi="SimHei" w:eastAsia="SimHei" w:cs="Times New Roman"/>
        </w:rPr>
        <w:t>条</w:t>
      </w:r>
      <w:r>
        <w:rPr>
          <w:rFonts w:hint="eastAsia" w:ascii="SimHei" w:hAnsi="SimHei" w:eastAsia="SimHei" w:cs="Times New Roman"/>
        </w:rPr>
        <w:t>【罚则】</w:t>
      </w:r>
      <w:r>
        <w:rPr>
          <w:rFonts w:ascii="Times New Roman" w:hAnsi="Times New Roman" w:cs="Times New Roman"/>
        </w:rPr>
        <w:t>违反本条例规定，</w:t>
      </w:r>
      <w:r>
        <w:rPr>
          <w:rFonts w:hint="eastAsia" w:ascii="Times New Roman" w:hAnsi="Times New Roman" w:cs="Times New Roman"/>
        </w:rPr>
        <w:t>擅自设置、移动、涂改或者损毁保护标志牌的，由县（市、区）住房和城乡建设部门责令限期改正；逾期不改正的，对单位处一</w:t>
      </w:r>
      <w:r>
        <w:rPr>
          <w:rFonts w:ascii="Times New Roman" w:hAnsi="Times New Roman" w:cs="Times New Roman"/>
        </w:rPr>
        <w:t>万元以上</w:t>
      </w:r>
      <w:r>
        <w:rPr>
          <w:rFonts w:hint="eastAsia" w:ascii="Times New Roman" w:hAnsi="Times New Roman" w:cs="Times New Roman"/>
        </w:rPr>
        <w:t>五</w:t>
      </w:r>
      <w:r>
        <w:rPr>
          <w:rFonts w:ascii="Times New Roman" w:hAnsi="Times New Roman" w:cs="Times New Roman"/>
        </w:rPr>
        <w:t>万元以下罚款，对个人处</w:t>
      </w:r>
      <w:r>
        <w:rPr>
          <w:rFonts w:hint="eastAsia" w:ascii="Times New Roman" w:hAnsi="Times New Roman" w:cs="Times New Roman"/>
        </w:rPr>
        <w:t>一千</w:t>
      </w:r>
      <w:r>
        <w:rPr>
          <w:rFonts w:ascii="Times New Roman" w:hAnsi="Times New Roman" w:cs="Times New Roman"/>
        </w:rPr>
        <w:t>元以上</w:t>
      </w:r>
      <w:r>
        <w:rPr>
          <w:rFonts w:hint="eastAsia" w:ascii="Times New Roman" w:hAnsi="Times New Roman" w:cs="Times New Roman"/>
        </w:rPr>
        <w:t>一</w:t>
      </w:r>
      <w:r>
        <w:rPr>
          <w:rFonts w:ascii="Times New Roman" w:hAnsi="Times New Roman" w:cs="Times New Roman"/>
        </w:rPr>
        <w:t>万元以下罚款。</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bookmarkStart w:id="8" w:name="_Hlk218856938"/>
      <w:r>
        <w:rPr>
          <w:rFonts w:ascii="SimHei" w:hAnsi="SimHei" w:eastAsia="SimHei" w:cs="Times New Roman"/>
        </w:rPr>
        <w:t>第</w:t>
      </w:r>
      <w:r>
        <w:rPr>
          <w:rFonts w:hint="eastAsia" w:ascii="SimHei" w:hAnsi="SimHei" w:eastAsia="SimHei" w:cs="Times New Roman"/>
        </w:rPr>
        <w:t>三十七</w:t>
      </w:r>
      <w:r>
        <w:rPr>
          <w:rFonts w:ascii="SimHei" w:hAnsi="SimHei" w:eastAsia="SimHei" w:cs="Times New Roman"/>
        </w:rPr>
        <w:t>条</w:t>
      </w:r>
      <w:r>
        <w:rPr>
          <w:rFonts w:hint="eastAsia" w:ascii="SimHei" w:hAnsi="SimHei" w:eastAsia="SimHei" w:cs="Times New Roman"/>
        </w:rPr>
        <w:t>【罚则】</w:t>
      </w:r>
      <w:bookmarkEnd w:id="8"/>
      <w:r>
        <w:rPr>
          <w:rFonts w:ascii="Times New Roman" w:hAnsi="Times New Roman" w:cs="Times New Roman"/>
        </w:rPr>
        <w:t>违反本条例规定，</w:t>
      </w:r>
      <w:r>
        <w:rPr>
          <w:rFonts w:hint="eastAsia" w:ascii="Times New Roman" w:hAnsi="Times New Roman" w:cs="Times New Roman"/>
        </w:rPr>
        <w:t>非法拆卸、转让历史建筑构件的，由住房和城市更新部门责令停止违法行为、限期恢复原状或者采取其他补救措施；有违法所得的，没收违法所得；造成严重后果的，</w:t>
      </w:r>
      <w:r>
        <w:rPr>
          <w:rFonts w:ascii="Times New Roman" w:hAnsi="Times New Roman" w:cs="Times New Roman"/>
        </w:rPr>
        <w:t>处</w:t>
      </w:r>
      <w:r>
        <w:rPr>
          <w:rFonts w:hint="eastAsia" w:ascii="Times New Roman" w:hAnsi="Times New Roman" w:cs="Times New Roman"/>
        </w:rPr>
        <w:t>一</w:t>
      </w:r>
      <w:r>
        <w:rPr>
          <w:rFonts w:ascii="Times New Roman" w:hAnsi="Times New Roman" w:cs="Times New Roman"/>
        </w:rPr>
        <w:t>万元以上</w:t>
      </w:r>
      <w:r>
        <w:rPr>
          <w:rFonts w:hint="eastAsia" w:ascii="Times New Roman" w:hAnsi="Times New Roman" w:cs="Times New Roman"/>
        </w:rPr>
        <w:t>五</w:t>
      </w:r>
      <w:r>
        <w:rPr>
          <w:rFonts w:ascii="Times New Roman" w:hAnsi="Times New Roman" w:cs="Times New Roman"/>
        </w:rPr>
        <w:t>万元以下罚款。</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ascii="Times New Roman" w:hAnsi="Times New Roman" w:cs="Times New Roman"/>
        </w:rPr>
        <w:t>违反本条例规定，</w:t>
      </w:r>
      <w:r>
        <w:rPr>
          <w:rFonts w:hint="eastAsia" w:ascii="Times New Roman" w:hAnsi="Times New Roman" w:cs="Times New Roman"/>
        </w:rPr>
        <w:t>在历史建筑内堆放易燃、易爆和腐蚀性等危险物品的，由住房和城市更新部门责令停止违法行为、限期恢复原状；造成严重后果的，处五千</w:t>
      </w:r>
      <w:r>
        <w:rPr>
          <w:rFonts w:ascii="Times New Roman" w:hAnsi="Times New Roman" w:cs="Times New Roman"/>
        </w:rPr>
        <w:t>元以下罚款</w:t>
      </w:r>
      <w:r>
        <w:rPr>
          <w:rFonts w:hint="eastAsia" w:ascii="Times New Roman" w:hAnsi="Times New Roman" w:cs="Times New Roman"/>
        </w:rPr>
        <w:t>；造成损失的，依法承担赔偿责任</w:t>
      </w:r>
      <w:r>
        <w:rPr>
          <w:rFonts w:ascii="Times New Roman" w:hAnsi="Times New Roman" w:cs="Times New Roman"/>
        </w:rPr>
        <w:t>。</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cs="Times New Roman"/>
        </w:rPr>
      </w:pPr>
      <w:r>
        <w:rPr>
          <w:rFonts w:ascii="SimHei" w:hAnsi="SimHei" w:eastAsia="SimHei" w:cs="Times New Roman"/>
        </w:rPr>
        <w:t>第</w:t>
      </w:r>
      <w:r>
        <w:rPr>
          <w:rFonts w:hint="eastAsia" w:ascii="SimHei" w:hAnsi="SimHei" w:eastAsia="SimHei" w:cs="Times New Roman"/>
        </w:rPr>
        <w:t>三十八</w:t>
      </w:r>
      <w:r>
        <w:rPr>
          <w:rFonts w:ascii="SimHei" w:hAnsi="SimHei" w:eastAsia="SimHei" w:cs="Times New Roman"/>
        </w:rPr>
        <w:t>条</w:t>
      </w:r>
      <w:r>
        <w:rPr>
          <w:rFonts w:hint="eastAsia" w:ascii="SimHei" w:hAnsi="SimHei" w:eastAsia="SimHei" w:cs="Times New Roman"/>
        </w:rPr>
        <w:t>【罚则】</w:t>
      </w:r>
      <w:r>
        <w:rPr>
          <w:rFonts w:ascii="Times New Roman" w:hAnsi="Times New Roman" w:cs="Times New Roman"/>
        </w:rPr>
        <w:t>违反本条例规定，</w:t>
      </w:r>
      <w:r>
        <w:rPr>
          <w:rFonts w:hint="eastAsia" w:ascii="Times New Roman" w:hAnsi="Times New Roman" w:cs="Times New Roman"/>
        </w:rPr>
        <w:t>从事违反建筑高度、体量、风格、色彩等管控要求的建设活动的，由县（市、区）住房和城乡建设部门责令限期改正，并依法追究相关责任人法律责任。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hint="eastAsia" w:ascii="Times New Roman" w:hAnsi="Times New Roman" w:cs="Times New Roman"/>
        </w:rPr>
        <w:t>违反本条例规定，设置破坏或者影响风貌的广告、招牌、标语宣传品的，由县（市、区）城市管理部门责令限期改正，并依法追究相关责任人法律责任。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FangSong_GB2312" w:hAnsi="FangSong_GB2312" w:cs="Times New Roman"/>
        </w:rPr>
      </w:pPr>
      <w:r>
        <w:rPr>
          <w:rFonts w:ascii="SimHei" w:hAnsi="SimHei" w:eastAsia="SimHei" w:cs="Times New Roman"/>
        </w:rPr>
        <w:t>第</w:t>
      </w:r>
      <w:r>
        <w:rPr>
          <w:rFonts w:hint="eastAsia" w:ascii="SimHei" w:hAnsi="SimHei" w:eastAsia="SimHei" w:cs="Times New Roman"/>
        </w:rPr>
        <w:t>三十九</w:t>
      </w:r>
      <w:r>
        <w:rPr>
          <w:rFonts w:ascii="SimHei" w:hAnsi="SimHei" w:eastAsia="SimHei" w:cs="Times New Roman"/>
        </w:rPr>
        <w:t>条</w:t>
      </w:r>
      <w:r>
        <w:rPr>
          <w:rFonts w:hint="eastAsia" w:ascii="SimHei" w:hAnsi="SimHei" w:eastAsia="SimHei" w:cs="Times New Roman"/>
        </w:rPr>
        <w:t>【罚则】</w:t>
      </w:r>
      <w:r>
        <w:rPr>
          <w:rFonts w:hint="eastAsia" w:ascii="FangSong_GB2312" w:hAnsi="FangSong_GB2312" w:cs="Times New Roman"/>
        </w:rPr>
        <w:t>国家机关及其工作人员，在历史文化名城名镇名村保护工作中滥用职权、玩忽职守、徇私舞弊的，对直接负责的主管人员和其他直接责任人员依法给予处分；构成犯罪的，依法追究刑事责任。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SimHei" w:hAnsi="SimHei" w:eastAsia="SimHei" w:cs="Times New Roman"/>
        </w:rPr>
      </w:pPr>
      <w:r>
        <w:rPr>
          <w:rFonts w:ascii="SimHei" w:hAnsi="SimHei" w:eastAsia="SimHei" w:cs="Times New Roman"/>
        </w:rPr>
        <w:t>第</w:t>
      </w:r>
      <w:r>
        <w:rPr>
          <w:rFonts w:hint="eastAsia" w:ascii="SimHei" w:hAnsi="SimHei" w:eastAsia="SimHei" w:cs="Times New Roman"/>
        </w:rPr>
        <w:t>六</w:t>
      </w:r>
      <w:r>
        <w:rPr>
          <w:rFonts w:ascii="SimHei" w:hAnsi="SimHei" w:eastAsia="SimHei" w:cs="Times New Roman"/>
        </w:rPr>
        <w:t xml:space="preserve">章 </w:t>
      </w:r>
      <w:r>
        <w:rPr>
          <w:rFonts w:hint="eastAsia" w:ascii="SimHei" w:hAnsi="SimHei" w:eastAsia="SimHei" w:cs="Times New Roman"/>
        </w:rPr>
        <w:t xml:space="preserve">附 </w:t>
      </w:r>
      <w:r>
        <w:rPr>
          <w:rFonts w:ascii="SimHei" w:hAnsi="SimHei" w:eastAsia="SimHei" w:cs="Times New Roman"/>
        </w:rPr>
        <w:t xml:space="preserve"> </w:t>
      </w:r>
      <w:r>
        <w:rPr>
          <w:rFonts w:hint="eastAsia" w:ascii="SimHei" w:hAnsi="SimHei" w:eastAsia="SimHei" w:cs="Times New Roman"/>
        </w:rPr>
        <w:t>则</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cs="Times New Roman"/>
        </w:rPr>
      </w:pPr>
      <w:r>
        <w:rPr>
          <w:rFonts w:ascii="SimHei" w:hAnsi="SimHei" w:eastAsia="SimHei" w:cs="Times New Roman"/>
        </w:rPr>
        <w:t>第</w:t>
      </w:r>
      <w:r>
        <w:rPr>
          <w:rFonts w:hint="eastAsia" w:ascii="SimHei" w:hAnsi="SimHei" w:eastAsia="SimHei" w:cs="Times New Roman"/>
        </w:rPr>
        <w:t>四十</w:t>
      </w:r>
      <w:r>
        <w:rPr>
          <w:rFonts w:ascii="SimHei" w:hAnsi="SimHei" w:eastAsia="SimHei" w:cs="Times New Roman"/>
        </w:rPr>
        <w:t>条</w:t>
      </w:r>
      <w:r>
        <w:rPr>
          <w:rFonts w:hint="eastAsia" w:ascii="SimHei" w:hAnsi="SimHei" w:eastAsia="SimHei" w:cs="Times New Roman"/>
        </w:rPr>
        <w:t>【施行日期】</w:t>
      </w:r>
      <w:r>
        <w:rPr>
          <w:rFonts w:hint="eastAsia" w:ascii="Times New Roman" w:hAnsi="Times New Roman" w:cs="Times New Roman"/>
        </w:rPr>
        <w:t>本条例自</w:t>
      </w:r>
      <w:r>
        <w:rPr>
          <w:rFonts w:ascii="Times New Roman" w:hAnsi="Times New Roman" w:cs="Times New Roman"/>
        </w:rPr>
        <w:t xml:space="preserve"> 年 月 日起施行。</w:t>
      </w:r>
    </w:p>
    <w:p>
      <w:pPr>
        <w:keepNext w:val="0"/>
        <w:keepLines w:val="0"/>
        <w:pageBreakBefore w:val="0"/>
        <w:kinsoku/>
        <w:overflowPunct/>
        <w:topLinePunct w:val="0"/>
        <w:autoSpaceDE/>
        <w:autoSpaceDN/>
        <w:bidi w:val="0"/>
        <w:spacing w:line="520" w:lineRule="exact"/>
        <w:textAlignment w:val="auto"/>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Microsoft YaHei">
    <w:altName w:val="方正黑体_GBK"/>
    <w:panose1 w:val="020B0503020204020204"/>
    <w:charset w:val="00"/>
    <w:family w:val="swiss"/>
    <w:pitch w:val="default"/>
    <w:sig w:usb0="00000000" w:usb1="00000000" w:usb2="00000016" w:usb3="00000000" w:csb0="0004001F" w:csb1="00000000"/>
  </w:font>
  <w:font w:name="FangSong_GB2312">
    <w:altName w:val="方正仿宋_GBK"/>
    <w:panose1 w:val="02010609060101010101"/>
    <w:charset w:val="00"/>
    <w:family w:val="modern"/>
    <w:pitch w:val="default"/>
    <w:sig w:usb0="00000000" w:usb1="00000000" w:usb2="00000016" w:usb3="00000000" w:csb0="00040001" w:csb1="00000000"/>
  </w:font>
  <w:font w:name="SimHei">
    <w:altName w:val="方正黑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AF540B"/>
    <w:rsid w:val="3ADB34D9"/>
    <w:rsid w:val="3D7FF2E0"/>
    <w:rsid w:val="45AD7DCD"/>
    <w:rsid w:val="4F7B2D87"/>
    <w:rsid w:val="56A51C0D"/>
    <w:rsid w:val="67789444"/>
    <w:rsid w:val="7EB10F11"/>
    <w:rsid w:val="7EFD0ACF"/>
    <w:rsid w:val="7FF50E25"/>
    <w:rsid w:val="8EFD5AF6"/>
    <w:rsid w:val="B7EA409C"/>
    <w:rsid w:val="BDB4775E"/>
    <w:rsid w:val="DFF75460"/>
    <w:rsid w:val="EB7FDC85"/>
    <w:rsid w:val="EFAF540B"/>
    <w:rsid w:val="FB5DCA46"/>
    <w:rsid w:val="FBEDA1EA"/>
    <w:rsid w:val="FF56B8D7"/>
    <w:rsid w:val="FFC76F7C"/>
    <w:rsid w:val="FFF716C5"/>
    <w:rsid w:val="FFFD36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ind w:firstLine="630"/>
    </w:pPr>
    <w:rPr>
      <w:rFonts w:ascii="仿宋_GB2312" w:eastAsia="仿宋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2026-01-10T15:27:00Z</dcterms:created>
  <dc:creator>greatwall</dc:creator>
  <cp:lastModifiedBy>苏廷</cp:lastModifiedBy>
  <dcterms:modified xsi:type="dcterms:W3CDTF">2026-06-30T17:33:54Z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